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C8" w:rsidRPr="00A71CC8" w:rsidRDefault="00A71CC8" w:rsidP="00A71CC8">
      <w:pPr>
        <w:spacing w:after="225" w:line="540" w:lineRule="atLeast"/>
        <w:outlineLvl w:val="0"/>
        <w:rPr>
          <w:rFonts w:ascii="Georgia" w:eastAsia="Times New Roman" w:hAnsi="Georgia" w:cs="Times New Roman"/>
          <w:color w:val="000000"/>
          <w:kern w:val="36"/>
          <w:sz w:val="45"/>
          <w:szCs w:val="45"/>
          <w:lang w:eastAsia="pt-BR"/>
        </w:rPr>
      </w:pPr>
      <w:r w:rsidRPr="00A71CC8">
        <w:rPr>
          <w:rFonts w:ascii="Georgia" w:eastAsia="Times New Roman" w:hAnsi="Georgia" w:cs="Times New Roman"/>
          <w:color w:val="000000"/>
          <w:kern w:val="36"/>
          <w:sz w:val="45"/>
          <w:szCs w:val="45"/>
          <w:lang w:eastAsia="pt-BR"/>
        </w:rPr>
        <w:t>Contrarreforma e o Concílio Vaticano II</w:t>
      </w:r>
    </w:p>
    <w:p w:rsidR="0011423A" w:rsidRDefault="00A71CC8">
      <w:pPr>
        <w:rPr>
          <w:rStyle w:val="nfase"/>
          <w:rFonts w:ascii="Georgia" w:hAnsi="Georgia"/>
          <w:color w:val="000000"/>
          <w:sz w:val="20"/>
          <w:szCs w:val="20"/>
        </w:rPr>
      </w:pPr>
      <w:r>
        <w:rPr>
          <w:rStyle w:val="nfase"/>
          <w:rFonts w:ascii="Georgia" w:hAnsi="Georgia"/>
          <w:color w:val="000000"/>
          <w:sz w:val="20"/>
          <w:szCs w:val="20"/>
        </w:rPr>
        <w:t>Explique para a turma os dois principais movimentos de mudança ocorridos dentro da Igreja Católica e mostre como seus efeitos foram sentidos dentro e fora dos templos</w:t>
      </w:r>
    </w:p>
    <w:p w:rsidR="00A71CC8" w:rsidRDefault="00A71CC8" w:rsidP="00A71CC8">
      <w:pPr>
        <w:pStyle w:val="NormalWeb"/>
        <w:spacing w:after="0" w:line="285" w:lineRule="atLeast"/>
        <w:rPr>
          <w:rFonts w:ascii="Georgia" w:hAnsi="Georgia"/>
          <w:color w:val="000000"/>
          <w:sz w:val="20"/>
          <w:szCs w:val="20"/>
        </w:rPr>
      </w:pPr>
      <w:r>
        <w:rPr>
          <w:rStyle w:val="intertitulo"/>
          <w:rFonts w:ascii="Georgia" w:hAnsi="Georgia"/>
          <w:b/>
          <w:bCs/>
          <w:color w:val="333333"/>
        </w:rPr>
        <w:t>Objetivos</w:t>
      </w:r>
      <w:r>
        <w:rPr>
          <w:rStyle w:val="apple-converted-space"/>
          <w:rFonts w:ascii="Georgia" w:hAnsi="Georgia"/>
          <w:b/>
          <w:bCs/>
          <w:color w:val="333333"/>
        </w:rPr>
        <w:t> </w:t>
      </w:r>
      <w:r>
        <w:rPr>
          <w:rFonts w:ascii="Georgia" w:hAnsi="Georgia"/>
          <w:color w:val="000000"/>
          <w:sz w:val="20"/>
          <w:szCs w:val="20"/>
        </w:rPr>
        <w:br/>
        <w:t>Discutir aspectos referentes aos principais movimentos de mudança ocorridos no seio da Igreja Católica: a chamada Contrarreforma ou Reforma Católica (iniciada no século 16) e o Concílio Vaticano II (organizado entre os anos de 1962 e 1965).</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Conteúdos</w:t>
      </w:r>
      <w:r>
        <w:rPr>
          <w:rStyle w:val="apple-converted-space"/>
          <w:rFonts w:ascii="Georgia" w:hAnsi="Georgia"/>
          <w:b/>
          <w:bCs/>
          <w:color w:val="333333"/>
        </w:rPr>
        <w:t> </w:t>
      </w:r>
      <w:r>
        <w:rPr>
          <w:rFonts w:ascii="Georgia" w:hAnsi="Georgia"/>
          <w:color w:val="000000"/>
          <w:sz w:val="20"/>
          <w:szCs w:val="20"/>
        </w:rPr>
        <w:br/>
        <w:t>- Contrarreforma Católica</w:t>
      </w:r>
      <w:r>
        <w:rPr>
          <w:rFonts w:ascii="Georgia" w:hAnsi="Georgia"/>
          <w:color w:val="000000"/>
          <w:sz w:val="20"/>
          <w:szCs w:val="20"/>
        </w:rPr>
        <w:br/>
        <w:t>- Inquisição</w:t>
      </w:r>
      <w:r>
        <w:rPr>
          <w:rFonts w:ascii="Georgia" w:hAnsi="Georgia"/>
          <w:color w:val="000000"/>
          <w:sz w:val="20"/>
          <w:szCs w:val="20"/>
        </w:rPr>
        <w:br/>
        <w:t>- Concílio Vaticano II</w:t>
      </w:r>
      <w:r>
        <w:rPr>
          <w:rFonts w:ascii="Georgia" w:hAnsi="Georgia"/>
          <w:color w:val="000000"/>
          <w:sz w:val="20"/>
          <w:szCs w:val="20"/>
        </w:rPr>
        <w:br/>
        <w:t>- Teologia da Libertação</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Anos</w:t>
      </w:r>
      <w:r>
        <w:rPr>
          <w:rStyle w:val="apple-converted-space"/>
          <w:rFonts w:ascii="Georgia" w:hAnsi="Georgia"/>
          <w:b/>
          <w:bCs/>
          <w:color w:val="333333"/>
        </w:rPr>
        <w:t> </w:t>
      </w:r>
      <w:r>
        <w:rPr>
          <w:rFonts w:ascii="Georgia" w:hAnsi="Georgia"/>
          <w:color w:val="000000"/>
          <w:sz w:val="20"/>
          <w:szCs w:val="20"/>
        </w:rPr>
        <w:br/>
        <w:t>Ensino Médio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Material necessário</w:t>
      </w:r>
      <w:r>
        <w:rPr>
          <w:rFonts w:ascii="Georgia" w:hAnsi="Georgia"/>
          <w:color w:val="000000"/>
          <w:sz w:val="20"/>
          <w:szCs w:val="20"/>
        </w:rPr>
        <w:br/>
        <w:t xml:space="preserve">- </w:t>
      </w:r>
      <w:proofErr w:type="gramStart"/>
      <w:r>
        <w:rPr>
          <w:rFonts w:ascii="Georgia" w:hAnsi="Georgia"/>
          <w:color w:val="000000"/>
          <w:sz w:val="20"/>
          <w:szCs w:val="20"/>
        </w:rPr>
        <w:t>Cópias da reportagem</w:t>
      </w:r>
      <w:r>
        <w:rPr>
          <w:rStyle w:val="apple-converted-space"/>
          <w:rFonts w:ascii="Georgia" w:hAnsi="Georgia"/>
          <w:i/>
          <w:iCs/>
          <w:color w:val="000000"/>
          <w:sz w:val="20"/>
          <w:szCs w:val="20"/>
        </w:rPr>
        <w:t> </w:t>
      </w:r>
      <w:r>
        <w:rPr>
          <w:rStyle w:val="nfase"/>
          <w:rFonts w:ascii="Georgia" w:hAnsi="Georgia"/>
          <w:color w:val="000000"/>
          <w:sz w:val="20"/>
          <w:szCs w:val="20"/>
        </w:rPr>
        <w:t>Obra</w:t>
      </w:r>
      <w:proofErr w:type="gramEnd"/>
      <w:r>
        <w:rPr>
          <w:rStyle w:val="nfase"/>
          <w:rFonts w:ascii="Georgia" w:hAnsi="Georgia"/>
          <w:color w:val="000000"/>
          <w:sz w:val="20"/>
          <w:szCs w:val="20"/>
        </w:rPr>
        <w:t xml:space="preserve"> em Aberto</w:t>
      </w:r>
      <w:r>
        <w:rPr>
          <w:rFonts w:ascii="Georgia" w:hAnsi="Georgia"/>
          <w:color w:val="000000"/>
          <w:sz w:val="20"/>
          <w:szCs w:val="20"/>
        </w:rPr>
        <w:t>, publicada em</w:t>
      </w:r>
      <w:r>
        <w:rPr>
          <w:rStyle w:val="apple-converted-space"/>
          <w:rFonts w:ascii="Georgia" w:hAnsi="Georgia"/>
          <w:color w:val="000000"/>
          <w:sz w:val="20"/>
          <w:szCs w:val="20"/>
        </w:rPr>
        <w:t> </w:t>
      </w:r>
      <w:r>
        <w:rPr>
          <w:rStyle w:val="nfase"/>
          <w:rFonts w:ascii="Georgia" w:hAnsi="Georgia"/>
          <w:color w:val="000000"/>
          <w:sz w:val="20"/>
          <w:szCs w:val="20"/>
        </w:rPr>
        <w:t>Veja</w:t>
      </w:r>
      <w:r>
        <w:rPr>
          <w:rFonts w:ascii="Georgia" w:hAnsi="Georgia"/>
          <w:color w:val="000000"/>
          <w:sz w:val="20"/>
          <w:szCs w:val="20"/>
        </w:rPr>
        <w:t>, 17 de outubro de 2012</w:t>
      </w:r>
      <w:r>
        <w:rPr>
          <w:rFonts w:ascii="Georgia" w:hAnsi="Georgia"/>
          <w:color w:val="000000"/>
          <w:sz w:val="20"/>
          <w:szCs w:val="20"/>
        </w:rPr>
        <w:br/>
        <w:t>- Cópias de excerto da dissertação de mestrado de Aldair Carlos Rodrigues, disponível no plano de aula</w:t>
      </w:r>
      <w:r>
        <w:rPr>
          <w:rFonts w:ascii="Georgia" w:hAnsi="Georgia"/>
          <w:color w:val="000000"/>
          <w:sz w:val="20"/>
          <w:szCs w:val="20"/>
        </w:rPr>
        <w:br/>
        <w:t>- DVD do filme</w:t>
      </w:r>
      <w:r>
        <w:rPr>
          <w:rStyle w:val="apple-converted-space"/>
          <w:rFonts w:ascii="Georgia" w:hAnsi="Georgia"/>
          <w:color w:val="000000"/>
          <w:sz w:val="20"/>
          <w:szCs w:val="20"/>
        </w:rPr>
        <w:t> </w:t>
      </w:r>
      <w:r>
        <w:rPr>
          <w:rStyle w:val="nfase"/>
          <w:rFonts w:ascii="Georgia" w:hAnsi="Georgia"/>
          <w:color w:val="000000"/>
          <w:sz w:val="20"/>
          <w:szCs w:val="20"/>
        </w:rPr>
        <w:t>Batismo de Sangue</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Tempo estimado</w:t>
      </w:r>
      <w:r>
        <w:rPr>
          <w:rStyle w:val="apple-converted-space"/>
          <w:rFonts w:ascii="Georgia" w:hAnsi="Georgia"/>
          <w:b/>
          <w:bCs/>
          <w:color w:val="333333"/>
        </w:rPr>
        <w:t> </w:t>
      </w:r>
      <w:r>
        <w:rPr>
          <w:rFonts w:ascii="Georgia" w:hAnsi="Georgia"/>
          <w:color w:val="000000"/>
          <w:sz w:val="20"/>
          <w:szCs w:val="20"/>
        </w:rPr>
        <w:br/>
        <w:t>Três aulas</w:t>
      </w:r>
    </w:p>
    <w:p w:rsidR="00A71CC8" w:rsidRDefault="00A71CC8" w:rsidP="00A71CC8">
      <w:pPr>
        <w:pStyle w:val="NormalWeb"/>
        <w:spacing w:after="0" w:line="285" w:lineRule="atLeast"/>
        <w:rPr>
          <w:rFonts w:ascii="Georgia" w:hAnsi="Georgia"/>
          <w:color w:val="000000"/>
          <w:sz w:val="20"/>
          <w:szCs w:val="20"/>
        </w:rPr>
      </w:pPr>
      <w:proofErr w:type="gramStart"/>
      <w:r>
        <w:rPr>
          <w:rStyle w:val="intertitulo"/>
          <w:rFonts w:ascii="Georgia" w:hAnsi="Georgia"/>
          <w:b/>
          <w:bCs/>
          <w:color w:val="333333"/>
        </w:rPr>
        <w:t>Flexibilização</w:t>
      </w:r>
      <w:proofErr w:type="gramEnd"/>
    </w:p>
    <w:p w:rsidR="00A71CC8" w:rsidRDefault="00A71CC8" w:rsidP="00A71CC8">
      <w:pPr>
        <w:pStyle w:val="NormalWeb"/>
        <w:spacing w:line="285" w:lineRule="atLeast"/>
        <w:rPr>
          <w:rFonts w:ascii="Georgia" w:hAnsi="Georgia"/>
          <w:color w:val="000000"/>
          <w:sz w:val="20"/>
          <w:szCs w:val="20"/>
        </w:rPr>
      </w:pPr>
      <w:r>
        <w:rPr>
          <w:rStyle w:val="Forte"/>
          <w:rFonts w:ascii="Georgia" w:hAnsi="Georgia"/>
          <w:color w:val="000000"/>
          <w:sz w:val="20"/>
          <w:szCs w:val="20"/>
        </w:rPr>
        <w:t>Deficiência auditiva</w:t>
      </w:r>
    </w:p>
    <w:p w:rsidR="00A71CC8" w:rsidRDefault="00A71CC8" w:rsidP="00A71CC8">
      <w:pPr>
        <w:pStyle w:val="NormalWeb"/>
        <w:spacing w:after="0" w:line="285" w:lineRule="atLeast"/>
        <w:rPr>
          <w:rFonts w:ascii="Georgia" w:hAnsi="Georgia"/>
          <w:color w:val="000000"/>
          <w:sz w:val="20"/>
          <w:szCs w:val="20"/>
        </w:rPr>
      </w:pPr>
      <w:r>
        <w:rPr>
          <w:rFonts w:ascii="Georgia" w:hAnsi="Georgia"/>
          <w:color w:val="000000"/>
          <w:sz w:val="20"/>
          <w:szCs w:val="20"/>
        </w:rPr>
        <w:t xml:space="preserve">Para ampliação deste plano, caso haja deficientes auditivos na classe, sugere-se, por se tratar de fatos históricos, que se elabore um esquema visual (linha do tempo), de preferência, ilustrado com imagens. O esquema deve conter datas e tópicos descritivos das mudanças. Esse material deve </w:t>
      </w:r>
      <w:proofErr w:type="gramStart"/>
      <w:r>
        <w:rPr>
          <w:rFonts w:ascii="Georgia" w:hAnsi="Georgia"/>
          <w:color w:val="000000"/>
          <w:sz w:val="20"/>
          <w:szCs w:val="20"/>
        </w:rPr>
        <w:t>aplicado a toda</w:t>
      </w:r>
      <w:proofErr w:type="gramEnd"/>
      <w:r>
        <w:rPr>
          <w:rFonts w:ascii="Georgia" w:hAnsi="Georgia"/>
          <w:color w:val="000000"/>
          <w:sz w:val="20"/>
          <w:szCs w:val="20"/>
        </w:rPr>
        <w:t xml:space="preserve"> a classe como recurso didático.</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Introdução</w:t>
      </w:r>
      <w:r>
        <w:rPr>
          <w:rStyle w:val="apple-converted-space"/>
          <w:rFonts w:ascii="Georgia" w:hAnsi="Georgia"/>
          <w:b/>
          <w:bCs/>
          <w:color w:val="333333"/>
        </w:rPr>
        <w:t> </w:t>
      </w:r>
      <w:r>
        <w:rPr>
          <w:rFonts w:ascii="Georgia" w:hAnsi="Georgia"/>
          <w:color w:val="000000"/>
          <w:sz w:val="20"/>
          <w:szCs w:val="20"/>
        </w:rPr>
        <w:br/>
        <w:t>No intuito de garantir a “pureza da fé” ou de “modernizar” suas práticas, a Igreja Católica, em diferentes momentos de sua história, se viu obrigada realizar mudanças, cujos reflexos não foram sentidos apenas entre as paredes de seus templos. Este plano de aula propõe uma discussão a respeito de dois dos principais movimentos de mudança realizados pela Igreja de São Pedro (a Contrarreforma e o Concílio Vaticano II), abordando seus objetivos, desdobramentos e reflexos no momento atual vivido pela religião católica.</w:t>
      </w:r>
    </w:p>
    <w:p w:rsidR="00A71CC8" w:rsidRDefault="00A71CC8" w:rsidP="00A71CC8">
      <w:pPr>
        <w:pStyle w:val="NormalWeb"/>
        <w:spacing w:after="0" w:line="285" w:lineRule="atLeast"/>
        <w:rPr>
          <w:rFonts w:ascii="Georgia" w:hAnsi="Georgia"/>
          <w:color w:val="000000"/>
          <w:sz w:val="20"/>
          <w:szCs w:val="20"/>
        </w:rPr>
      </w:pPr>
      <w:r>
        <w:rPr>
          <w:rStyle w:val="intertitulo"/>
          <w:rFonts w:ascii="Georgia" w:hAnsi="Georgia"/>
          <w:b/>
          <w:bCs/>
          <w:color w:val="333333"/>
        </w:rPr>
        <w:t>Desenvolvimento</w:t>
      </w:r>
      <w:r>
        <w:rPr>
          <w:rStyle w:val="apple-converted-space"/>
          <w:rFonts w:ascii="Georgia" w:hAnsi="Georgia"/>
          <w:b/>
          <w:bCs/>
          <w:color w:val="333333"/>
        </w:rPr>
        <w:t> </w:t>
      </w:r>
      <w:r>
        <w:rPr>
          <w:rFonts w:ascii="Georgia" w:hAnsi="Georgia"/>
          <w:color w:val="000000"/>
          <w:sz w:val="20"/>
          <w:szCs w:val="20"/>
        </w:rPr>
        <w:br/>
      </w:r>
      <w:r>
        <w:rPr>
          <w:rStyle w:val="Forte"/>
          <w:rFonts w:ascii="Georgia" w:hAnsi="Georgia"/>
          <w:color w:val="000000"/>
          <w:sz w:val="20"/>
          <w:szCs w:val="20"/>
        </w:rPr>
        <w:t>1ª etapa</w:t>
      </w:r>
      <w:r>
        <w:rPr>
          <w:rFonts w:ascii="Georgia" w:hAnsi="Georgia"/>
          <w:color w:val="000000"/>
          <w:sz w:val="20"/>
          <w:szCs w:val="20"/>
        </w:rPr>
        <w:br/>
        <w:t>Inicie a exposição informando à turma que o objetivo das próximas aulas será discutir a forma como a Igreja Católica passou por diversas transformações desde o século 16, alterando seus rituais e regras (para sacerdotes e fiéis), em resposta a ameaça de religiões protestantes em crescimento, para garantir a “pureza da fé”, ou, no caso das mudanças ocorridas no século 20, para se aproximar dos fiéis e modernizar (ao menos em parte) suas práticas.</w:t>
      </w:r>
      <w:r>
        <w:rPr>
          <w:rFonts w:ascii="Georgia" w:hAnsi="Georgia"/>
          <w:color w:val="000000"/>
          <w:sz w:val="20"/>
          <w:szCs w:val="20"/>
        </w:rPr>
        <w:br/>
      </w:r>
      <w:r>
        <w:rPr>
          <w:rFonts w:ascii="Georgia" w:hAnsi="Georgia"/>
          <w:color w:val="000000"/>
          <w:sz w:val="20"/>
          <w:szCs w:val="20"/>
        </w:rPr>
        <w:br/>
      </w:r>
      <w:r>
        <w:rPr>
          <w:rFonts w:ascii="Georgia" w:hAnsi="Georgia"/>
          <w:color w:val="000000"/>
          <w:sz w:val="20"/>
          <w:szCs w:val="20"/>
        </w:rPr>
        <w:lastRenderedPageBreak/>
        <w:t xml:space="preserve">Explique que, após um longo reinado como fé hegemônica no Ocidente, o catolicismo se viu diante de um impasse no início do século 16. A partir da dissidência encabeçada pelo sacerdote </w:t>
      </w:r>
      <w:proofErr w:type="spellStart"/>
      <w:proofErr w:type="gramStart"/>
      <w:r>
        <w:rPr>
          <w:rFonts w:ascii="Georgia" w:hAnsi="Georgia"/>
          <w:color w:val="000000"/>
          <w:sz w:val="20"/>
          <w:szCs w:val="20"/>
        </w:rPr>
        <w:t>alemão</w:t>
      </w:r>
      <w:r>
        <w:rPr>
          <w:rStyle w:val="Forte"/>
          <w:rFonts w:ascii="Georgia" w:hAnsi="Georgia"/>
          <w:color w:val="000000"/>
          <w:sz w:val="20"/>
          <w:szCs w:val="20"/>
        </w:rPr>
        <w:t>Martinho</w:t>
      </w:r>
      <w:proofErr w:type="spellEnd"/>
      <w:proofErr w:type="gramEnd"/>
      <w:r>
        <w:rPr>
          <w:rStyle w:val="Forte"/>
          <w:rFonts w:ascii="Georgia" w:hAnsi="Georgia"/>
          <w:color w:val="000000"/>
          <w:sz w:val="20"/>
          <w:szCs w:val="20"/>
        </w:rPr>
        <w:t xml:space="preserve"> Lutero</w:t>
      </w:r>
      <w:r>
        <w:rPr>
          <w:rStyle w:val="apple-converted-space"/>
          <w:rFonts w:ascii="Georgia" w:hAnsi="Georgia"/>
          <w:color w:val="000000"/>
          <w:sz w:val="20"/>
          <w:szCs w:val="20"/>
        </w:rPr>
        <w:t> </w:t>
      </w:r>
      <w:r>
        <w:rPr>
          <w:rFonts w:ascii="Georgia" w:hAnsi="Georgia"/>
          <w:color w:val="000000"/>
          <w:sz w:val="20"/>
          <w:szCs w:val="20"/>
        </w:rPr>
        <w:t>- cujas 95 teses (publicadas em 1517) trouxeram duras críticas às práticas de penitência e venda de indulgências, além da própria autoridade papal -, a Igreja de São Pedro começou a perder terreno e poder.</w:t>
      </w:r>
    </w:p>
    <w:p w:rsidR="00A71CC8" w:rsidRDefault="00A71CC8" w:rsidP="00A71CC8">
      <w:pPr>
        <w:pStyle w:val="NormalWeb"/>
        <w:spacing w:line="285" w:lineRule="atLeast"/>
        <w:rPr>
          <w:rFonts w:ascii="Georgia" w:hAnsi="Georgia"/>
          <w:color w:val="000000"/>
          <w:sz w:val="20"/>
          <w:szCs w:val="20"/>
        </w:rPr>
      </w:pPr>
      <w:r>
        <w:rPr>
          <w:rFonts w:ascii="Georgia" w:hAnsi="Georgia"/>
          <w:color w:val="000000"/>
          <w:sz w:val="20"/>
          <w:szCs w:val="20"/>
        </w:rPr>
        <w:t> </w:t>
      </w:r>
    </w:p>
    <w:p w:rsidR="00A71CC8" w:rsidRDefault="00A71CC8" w:rsidP="00A71CC8">
      <w:pPr>
        <w:pStyle w:val="NormalWeb"/>
        <w:spacing w:line="285" w:lineRule="atLeast"/>
        <w:rPr>
          <w:rFonts w:ascii="Georgia" w:hAnsi="Georgia"/>
          <w:color w:val="000000"/>
          <w:sz w:val="20"/>
          <w:szCs w:val="20"/>
        </w:rPr>
      </w:pPr>
      <w:r>
        <w:rPr>
          <w:rFonts w:ascii="Georgia" w:hAnsi="Georgia"/>
          <w:color w:val="000000"/>
          <w:sz w:val="20"/>
          <w:szCs w:val="20"/>
        </w:rPr>
        <w:t>O avanço protestante em várias regiões da Europa, fez com que o</w:t>
      </w:r>
      <w:r>
        <w:rPr>
          <w:rStyle w:val="apple-converted-space"/>
          <w:rFonts w:ascii="Georgia" w:hAnsi="Georgia"/>
          <w:color w:val="000000"/>
          <w:sz w:val="20"/>
          <w:szCs w:val="20"/>
        </w:rPr>
        <w:t> </w:t>
      </w:r>
      <w:r>
        <w:rPr>
          <w:rStyle w:val="Forte"/>
          <w:rFonts w:ascii="Georgia" w:hAnsi="Georgia"/>
          <w:color w:val="000000"/>
          <w:sz w:val="20"/>
          <w:szCs w:val="20"/>
        </w:rPr>
        <w:t>Vaticano</w:t>
      </w:r>
      <w:r>
        <w:rPr>
          <w:rStyle w:val="apple-converted-space"/>
          <w:rFonts w:ascii="Georgia" w:hAnsi="Georgia"/>
          <w:color w:val="000000"/>
          <w:sz w:val="20"/>
          <w:szCs w:val="20"/>
        </w:rPr>
        <w:t> </w:t>
      </w:r>
      <w:r>
        <w:rPr>
          <w:rFonts w:ascii="Georgia" w:hAnsi="Georgia"/>
          <w:color w:val="000000"/>
          <w:sz w:val="20"/>
          <w:szCs w:val="20"/>
        </w:rPr>
        <w:t xml:space="preserve">passasse a organizar medidas capazes de debelar os dissidentes e conter a dispersão do “rebanho” em direção às novas doutrinas cristãs. A solução encontrada foi </w:t>
      </w:r>
      <w:proofErr w:type="gramStart"/>
      <w:r>
        <w:rPr>
          <w:rFonts w:ascii="Georgia" w:hAnsi="Georgia"/>
          <w:color w:val="000000"/>
          <w:sz w:val="20"/>
          <w:szCs w:val="20"/>
        </w:rPr>
        <w:t>a</w:t>
      </w:r>
      <w:proofErr w:type="gramEnd"/>
      <w:r>
        <w:rPr>
          <w:rFonts w:ascii="Georgia" w:hAnsi="Georgia"/>
          <w:color w:val="000000"/>
          <w:sz w:val="20"/>
          <w:szCs w:val="20"/>
        </w:rPr>
        <w:t xml:space="preserve"> renovação de alguns pontos de sua doutrina e o resgate de velhos mecanismos de coerção da fé, como o</w:t>
      </w:r>
      <w:r>
        <w:rPr>
          <w:rStyle w:val="apple-converted-space"/>
          <w:rFonts w:ascii="Georgia" w:hAnsi="Georgia"/>
          <w:color w:val="000000"/>
          <w:sz w:val="20"/>
          <w:szCs w:val="20"/>
        </w:rPr>
        <w:t> </w:t>
      </w:r>
      <w:r>
        <w:rPr>
          <w:rStyle w:val="Forte"/>
          <w:rFonts w:ascii="Georgia" w:hAnsi="Georgia"/>
          <w:color w:val="000000"/>
          <w:sz w:val="20"/>
          <w:szCs w:val="20"/>
        </w:rPr>
        <w:t>Tribunal do Santo Ofício</w:t>
      </w:r>
      <w:r>
        <w:rPr>
          <w:rFonts w:ascii="Georgia" w:hAnsi="Georgia"/>
          <w:color w:val="000000"/>
          <w:sz w:val="20"/>
          <w:szCs w:val="20"/>
        </w:rPr>
        <w:t>, mais conhecido como Inquisição. Criada ainda na Idade Média com a finalidade de perseguir “hereges”, a Inquisição foi reativada em 1542, ampliando o rol de perseguidos, que incluíram, além dos “ímpios”, cristãos-novos judaizantes, homossexuais e todos que não se submetessem à autoridade da Santa Sé.</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As linhas gerais da reação católica ao avanço protestante foram definidas durante o </w:t>
      </w:r>
      <w:proofErr w:type="spellStart"/>
      <w:proofErr w:type="gramStart"/>
      <w:r>
        <w:rPr>
          <w:rFonts w:ascii="Georgia" w:hAnsi="Georgia"/>
          <w:color w:val="000000"/>
          <w:sz w:val="20"/>
          <w:szCs w:val="20"/>
        </w:rPr>
        <w:t>chamado</w:t>
      </w:r>
      <w:r>
        <w:rPr>
          <w:rStyle w:val="Forte"/>
          <w:rFonts w:ascii="Georgia" w:hAnsi="Georgia"/>
          <w:color w:val="000000"/>
          <w:sz w:val="20"/>
          <w:szCs w:val="20"/>
        </w:rPr>
        <w:t>Concílio</w:t>
      </w:r>
      <w:proofErr w:type="spellEnd"/>
      <w:proofErr w:type="gramEnd"/>
      <w:r>
        <w:rPr>
          <w:rStyle w:val="Forte"/>
          <w:rFonts w:ascii="Georgia" w:hAnsi="Georgia"/>
          <w:color w:val="000000"/>
          <w:sz w:val="20"/>
          <w:szCs w:val="20"/>
        </w:rPr>
        <w:t xml:space="preserve"> de Trento</w:t>
      </w:r>
      <w:r>
        <w:rPr>
          <w:rFonts w:ascii="Georgia" w:hAnsi="Georgia"/>
          <w:color w:val="000000"/>
          <w:sz w:val="20"/>
          <w:szCs w:val="20"/>
        </w:rPr>
        <w:t>, convocado pelo Papa Paulo III e realizado entre os anos de 1545 e 1563, tendo entre seus resultados o aumento do rigor na formação dos sacerdotes (reafirmação do celibato); a renovação do culto à Virgem Maria e aos santos (contestados pelos protestantes); a reafirmação do poder centralizador do Papa, a quem recaía o poder absoluto em relação à doutrina da Igreja (estava acima da própria escritura sagrada); entre outras medidas.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No esteio das medidas determinadas pelo Concílio de Trento, sobretudo as de caráter coercitivo, ligadas ao Tribunal do Santo Ofício, ganharam força. Ainda durante o Concílio, em 1559, o Papa Paulo IV promulgou a primeira versão do chamado</w:t>
      </w:r>
      <w:r>
        <w:rPr>
          <w:rStyle w:val="apple-converted-space"/>
          <w:rFonts w:ascii="Georgia" w:hAnsi="Georgia"/>
          <w:color w:val="000000"/>
          <w:sz w:val="20"/>
          <w:szCs w:val="20"/>
        </w:rPr>
        <w:t> </w:t>
      </w:r>
      <w:r>
        <w:rPr>
          <w:rStyle w:val="nfase"/>
          <w:rFonts w:ascii="Georgia" w:hAnsi="Georgia"/>
          <w:color w:val="000000"/>
          <w:sz w:val="20"/>
          <w:szCs w:val="20"/>
        </w:rPr>
        <w:t xml:space="preserve">Index </w:t>
      </w:r>
      <w:proofErr w:type="spellStart"/>
      <w:r>
        <w:rPr>
          <w:rStyle w:val="nfase"/>
          <w:rFonts w:ascii="Georgia" w:hAnsi="Georgia"/>
          <w:color w:val="000000"/>
          <w:sz w:val="20"/>
          <w:szCs w:val="20"/>
        </w:rPr>
        <w:t>Librorum</w:t>
      </w:r>
      <w:proofErr w:type="spellEnd"/>
      <w:r>
        <w:rPr>
          <w:rStyle w:val="nfase"/>
          <w:rFonts w:ascii="Georgia" w:hAnsi="Georgia"/>
          <w:color w:val="000000"/>
          <w:sz w:val="20"/>
          <w:szCs w:val="20"/>
        </w:rPr>
        <w:t xml:space="preserve"> </w:t>
      </w:r>
      <w:proofErr w:type="spellStart"/>
      <w:r>
        <w:rPr>
          <w:rStyle w:val="nfase"/>
          <w:rFonts w:ascii="Georgia" w:hAnsi="Georgia"/>
          <w:color w:val="000000"/>
          <w:sz w:val="20"/>
          <w:szCs w:val="20"/>
        </w:rPr>
        <w:t>Prohibitorum</w:t>
      </w:r>
      <w:proofErr w:type="spellEnd"/>
      <w:r>
        <w:rPr>
          <w:rFonts w:ascii="Georgia" w:hAnsi="Georgia"/>
          <w:color w:val="000000"/>
          <w:sz w:val="20"/>
          <w:szCs w:val="20"/>
        </w:rPr>
        <w:t>, uma lista de livros proibidos elaborada pelo Santo Ofício. Na lógica do combate à dissidência protestante e aos hereges, o</w:t>
      </w:r>
      <w:r>
        <w:rPr>
          <w:rStyle w:val="apple-converted-space"/>
          <w:rFonts w:ascii="Georgia" w:hAnsi="Georgia"/>
          <w:color w:val="000000"/>
          <w:sz w:val="20"/>
          <w:szCs w:val="20"/>
        </w:rPr>
        <w:t> </w:t>
      </w:r>
      <w:r>
        <w:rPr>
          <w:rStyle w:val="nfase"/>
          <w:rFonts w:ascii="Georgia" w:hAnsi="Georgia"/>
          <w:color w:val="000000"/>
          <w:sz w:val="20"/>
          <w:szCs w:val="20"/>
        </w:rPr>
        <w:t>Index</w:t>
      </w:r>
      <w:r>
        <w:rPr>
          <w:rStyle w:val="apple-converted-space"/>
          <w:rFonts w:ascii="Georgia" w:hAnsi="Georgia"/>
          <w:color w:val="000000"/>
          <w:sz w:val="20"/>
          <w:szCs w:val="20"/>
        </w:rPr>
        <w:t> </w:t>
      </w:r>
      <w:r>
        <w:rPr>
          <w:rFonts w:ascii="Georgia" w:hAnsi="Georgia"/>
          <w:color w:val="000000"/>
          <w:sz w:val="20"/>
          <w:szCs w:val="20"/>
        </w:rPr>
        <w:t>tinha como objetivo coibir a leitura de obras que atacassem a santa doutrina católica, impedindo assim a corrupção dos fiéis.</w:t>
      </w:r>
    </w:p>
    <w:p w:rsidR="00A71CC8" w:rsidRDefault="00A71CC8" w:rsidP="00A71CC8">
      <w:pPr>
        <w:pStyle w:val="NormalWeb"/>
        <w:spacing w:line="285" w:lineRule="atLeast"/>
        <w:rPr>
          <w:rFonts w:ascii="Georgia" w:hAnsi="Georgia"/>
          <w:color w:val="000000"/>
          <w:sz w:val="20"/>
          <w:szCs w:val="20"/>
        </w:rPr>
      </w:pPr>
      <w:r>
        <w:rPr>
          <w:rFonts w:ascii="Georgia" w:hAnsi="Georgia"/>
          <w:color w:val="000000"/>
          <w:sz w:val="20"/>
          <w:szCs w:val="20"/>
        </w:rPr>
        <w:t>O temor do Vaticano era justificado, uma vez que uma das estratégias utilizadas pelos protestantes era a tradução da Bíblia para idiomas locais e a publicação de livros de sua doutrina, prática ignorada pelos católicos. A lista teve 32 edições, tendo sido publicado até o ano de 1948, mas abolido apenas 1966, pelo Papa Paulo VI. Comente que entre as obras que entraram para a “lista negra” da Igreja, figuraram livro de Galileu Galilei, Nicolau Maquiavel, John Locke, Thomas Hobbes, Jean Jacques Rousseau, Immanuel Kant, entre outros.</w:t>
      </w:r>
      <w:r>
        <w:rPr>
          <w:rFonts w:ascii="Georgia" w:hAnsi="Georgia"/>
          <w:color w:val="000000"/>
          <w:sz w:val="20"/>
          <w:szCs w:val="20"/>
        </w:rPr>
        <w:br/>
      </w:r>
      <w:r>
        <w:rPr>
          <w:rFonts w:ascii="Georgia" w:hAnsi="Georgia"/>
          <w:color w:val="000000"/>
          <w:sz w:val="20"/>
          <w:szCs w:val="20"/>
        </w:rPr>
        <w:br/>
        <w:t>Explique que a criação de novas ordens religiosas foi outra novidade trazida pelo Concílio de Trento, sendo que a</w:t>
      </w:r>
      <w:r>
        <w:rPr>
          <w:rStyle w:val="apple-converted-space"/>
          <w:rFonts w:ascii="Georgia" w:hAnsi="Georgia"/>
          <w:color w:val="000000"/>
          <w:sz w:val="20"/>
          <w:szCs w:val="20"/>
        </w:rPr>
        <w:t> </w:t>
      </w:r>
      <w:r>
        <w:rPr>
          <w:rStyle w:val="Forte"/>
          <w:rFonts w:ascii="Georgia" w:hAnsi="Georgia"/>
          <w:color w:val="000000"/>
          <w:sz w:val="20"/>
          <w:szCs w:val="20"/>
        </w:rPr>
        <w:t>Companhia de Jesus</w:t>
      </w:r>
      <w:r>
        <w:rPr>
          <w:rStyle w:val="apple-converted-space"/>
          <w:rFonts w:ascii="Georgia" w:hAnsi="Georgia"/>
          <w:color w:val="000000"/>
          <w:sz w:val="20"/>
          <w:szCs w:val="20"/>
        </w:rPr>
        <w:t> </w:t>
      </w:r>
      <w:r>
        <w:rPr>
          <w:rFonts w:ascii="Georgia" w:hAnsi="Georgia"/>
          <w:color w:val="000000"/>
          <w:sz w:val="20"/>
          <w:szCs w:val="20"/>
        </w:rPr>
        <w:t xml:space="preserve">se destacou como a de maior poder e prestígio em tempos de </w:t>
      </w:r>
      <w:proofErr w:type="spellStart"/>
      <w:r>
        <w:rPr>
          <w:rFonts w:ascii="Georgia" w:hAnsi="Georgia"/>
          <w:color w:val="000000"/>
          <w:sz w:val="20"/>
          <w:szCs w:val="20"/>
        </w:rPr>
        <w:t>Contra-Reforma</w:t>
      </w:r>
      <w:proofErr w:type="spellEnd"/>
      <w:r>
        <w:rPr>
          <w:rFonts w:ascii="Georgia" w:hAnsi="Georgia"/>
          <w:color w:val="000000"/>
          <w:sz w:val="20"/>
          <w:szCs w:val="20"/>
        </w:rPr>
        <w:t>. Tendo como patrono Ignácio de Loyola, a ordem jesuíta foi criada em 1534, tendo uma estrutura assemelhada aos moldes militares e a missão de sedimentar a doutrina católica pela Europa e territórios conquistados (Américas e Ásia), principalmente através da educação.</w:t>
      </w:r>
      <w:r>
        <w:rPr>
          <w:rFonts w:ascii="Georgia" w:hAnsi="Georgia"/>
          <w:color w:val="000000"/>
          <w:sz w:val="20"/>
          <w:szCs w:val="20"/>
        </w:rPr>
        <w:br/>
      </w:r>
      <w:r>
        <w:rPr>
          <w:rFonts w:ascii="Georgia" w:hAnsi="Georgia"/>
          <w:color w:val="000000"/>
          <w:sz w:val="20"/>
          <w:szCs w:val="20"/>
        </w:rPr>
        <w:br/>
        <w:t>Comente com a turma que talvez uma das facetas mais lembradas da Contrarreforma seja a Inquisição, que, apesar de ter suas origens na Idade Média, teve suas forças renovadas e ampliadas a partir do século 16. Informe que, ao contrário do ocorrido nas colônias espanholas, ou mesmo da possessão portuguesa na Índia (</w:t>
      </w:r>
      <w:proofErr w:type="spellStart"/>
      <w:r>
        <w:rPr>
          <w:rFonts w:ascii="Georgia" w:hAnsi="Georgia"/>
          <w:color w:val="000000"/>
          <w:sz w:val="20"/>
          <w:szCs w:val="20"/>
        </w:rPr>
        <w:t>Goa</w:t>
      </w:r>
      <w:proofErr w:type="spellEnd"/>
      <w:r>
        <w:rPr>
          <w:rFonts w:ascii="Georgia" w:hAnsi="Georgia"/>
          <w:color w:val="000000"/>
          <w:sz w:val="20"/>
          <w:szCs w:val="20"/>
        </w:rPr>
        <w:t>), o Brasil não contou com a presença de um Tribunal do Santo Ofício próprio. Mesmo sendo um desejo de Felipe IV, que insistiu na criação de um Tribunal entre os anos de 1621 e 1639, a colônia permaneceu subordinada à Inquisição de Lisboa, também responsável pela vigilância das ilhas Atlânticas e as possessões portuguesas na África.</w:t>
      </w:r>
    </w:p>
    <w:p w:rsidR="00A71CC8" w:rsidRDefault="00A71CC8" w:rsidP="00A71CC8">
      <w:pPr>
        <w:pStyle w:val="NormalWeb"/>
        <w:spacing w:line="285" w:lineRule="atLeast"/>
        <w:rPr>
          <w:rFonts w:ascii="Georgia" w:hAnsi="Georgia"/>
          <w:color w:val="000000"/>
          <w:sz w:val="20"/>
          <w:szCs w:val="20"/>
        </w:rPr>
      </w:pPr>
      <w:r>
        <w:rPr>
          <w:rStyle w:val="Forte"/>
          <w:rFonts w:ascii="Georgia" w:hAnsi="Georgia"/>
          <w:color w:val="000000"/>
          <w:sz w:val="20"/>
          <w:szCs w:val="20"/>
        </w:rPr>
        <w:t>2ªetapa</w:t>
      </w:r>
      <w:r>
        <w:rPr>
          <w:rFonts w:ascii="Georgia" w:hAnsi="Georgia"/>
          <w:color w:val="000000"/>
          <w:sz w:val="20"/>
          <w:szCs w:val="20"/>
        </w:rPr>
        <w:br/>
        <w:t xml:space="preserve">Mesmo sem a existência de um Tribunal próprio, a Inquisição se fez presente no Brasil, exercendo suas atividades de vigília e defesa da doutrina católica de diversas formas, que variaram através do tempo e mesmo de uma região </w:t>
      </w:r>
      <w:r>
        <w:rPr>
          <w:rFonts w:ascii="Georgia" w:hAnsi="Georgia"/>
          <w:color w:val="000000"/>
          <w:sz w:val="20"/>
          <w:szCs w:val="20"/>
        </w:rPr>
        <w:lastRenderedPageBreak/>
        <w:t xml:space="preserve">para outra. Em um primeiro momento, o Santo Ofício contou com a colaboração dos bispos já instalados na colônia, sendo eles os primeiros responsáveis, sob a supervisão dos inquisidores, de oferecer denúncias e mesmo enviando os acusados para Lisboa. Já em fins do século 16, ocorreram </w:t>
      </w:r>
      <w:proofErr w:type="gramStart"/>
      <w:r>
        <w:rPr>
          <w:rFonts w:ascii="Georgia" w:hAnsi="Georgia"/>
          <w:color w:val="000000"/>
          <w:sz w:val="20"/>
          <w:szCs w:val="20"/>
        </w:rPr>
        <w:t>as</w:t>
      </w:r>
      <w:proofErr w:type="gramEnd"/>
      <w:r>
        <w:rPr>
          <w:rFonts w:ascii="Georgia" w:hAnsi="Georgia"/>
          <w:color w:val="000000"/>
          <w:sz w:val="20"/>
          <w:szCs w:val="20"/>
        </w:rPr>
        <w:t xml:space="preserve"> primeiras visitações do Santo Ofício ao Brasil, mais precisamente à Bahia e Pernambuco, regiões que observaram, junto ao crescimento da economia açucareira, à chegada de um número considerável de cristãos-novos, um dos alvos preferências.</w:t>
      </w:r>
      <w:r>
        <w:rPr>
          <w:rFonts w:ascii="Georgia" w:hAnsi="Georgia"/>
          <w:color w:val="000000"/>
          <w:sz w:val="20"/>
          <w:szCs w:val="20"/>
        </w:rPr>
        <w:br/>
      </w:r>
      <w:r>
        <w:rPr>
          <w:rFonts w:ascii="Georgia" w:hAnsi="Georgia"/>
          <w:color w:val="000000"/>
          <w:sz w:val="20"/>
          <w:szCs w:val="20"/>
        </w:rPr>
        <w:br/>
        <w:t>As visitações inquisitoriais realizadas nos séculos seguintes trouxeram consigo a instalação de uma complexa rede de colaboradores do Santo Ofício, representada pela Justiça Eclesiástica, comissários e “familiares”, agentes responsáveis pela viabilização das atividades da Inquisição no Brasil, cujo ápice foi alcançado no século 18.</w:t>
      </w:r>
      <w:r>
        <w:rPr>
          <w:rFonts w:ascii="Georgia" w:hAnsi="Georgia"/>
          <w:color w:val="000000"/>
          <w:sz w:val="20"/>
          <w:szCs w:val="20"/>
        </w:rPr>
        <w:br/>
      </w:r>
      <w:r>
        <w:rPr>
          <w:rFonts w:ascii="Georgia" w:hAnsi="Georgia"/>
          <w:color w:val="000000"/>
          <w:sz w:val="20"/>
          <w:szCs w:val="20"/>
        </w:rPr>
        <w:br/>
        <w:t>Conte então para a turma que os agentes colaboradores da Inquisição eram escolhidos a dedo pelas autoridades, sendo que a maioria era proveniente do próprio clero. Entre os vários grupos de colaboradores, os chamados</w:t>
      </w:r>
      <w:r>
        <w:rPr>
          <w:rStyle w:val="apple-converted-space"/>
          <w:rFonts w:ascii="Georgia" w:hAnsi="Georgia"/>
          <w:color w:val="000000"/>
          <w:sz w:val="20"/>
          <w:szCs w:val="20"/>
        </w:rPr>
        <w:t> </w:t>
      </w:r>
      <w:r>
        <w:rPr>
          <w:rStyle w:val="Forte"/>
          <w:rFonts w:ascii="Georgia" w:hAnsi="Georgia"/>
          <w:color w:val="000000"/>
          <w:sz w:val="20"/>
          <w:szCs w:val="20"/>
        </w:rPr>
        <w:t>Familiares do Santo Ofício</w:t>
      </w:r>
      <w:r>
        <w:rPr>
          <w:rStyle w:val="apple-converted-space"/>
          <w:rFonts w:ascii="Georgia" w:hAnsi="Georgia"/>
          <w:color w:val="000000"/>
          <w:sz w:val="20"/>
          <w:szCs w:val="20"/>
        </w:rPr>
        <w:t> </w:t>
      </w:r>
      <w:r>
        <w:rPr>
          <w:rFonts w:ascii="Georgia" w:hAnsi="Georgia"/>
          <w:color w:val="000000"/>
          <w:sz w:val="20"/>
          <w:szCs w:val="20"/>
        </w:rPr>
        <w:t>eram agentes civis recrutados pela Inquisição, tendo entre suas atividades a denúncia e mesmo a prisão daqueles indicados como hereges. Visando como recompensa a conquista de privilégios e prestígio social (muito valioso em tempos coloniais), os Familiares representavam um elo entre as autoridades inquisitoriais e a sociedade colonial, mas sua aceitação não era um processo simples.</w:t>
      </w:r>
      <w:r>
        <w:rPr>
          <w:rFonts w:ascii="Georgia" w:hAnsi="Georgia"/>
          <w:color w:val="000000"/>
          <w:sz w:val="20"/>
          <w:szCs w:val="20"/>
        </w:rPr>
        <w:br/>
      </w:r>
      <w:r>
        <w:rPr>
          <w:rFonts w:ascii="Georgia" w:hAnsi="Georgia"/>
          <w:color w:val="000000"/>
          <w:sz w:val="20"/>
          <w:szCs w:val="20"/>
        </w:rPr>
        <w:br/>
        <w:t>Segundo o historiador Aldair Carlos Rodrigues, que estudou os agentes da inquisição no Brasil (especialmente em Minas Gerais), os requisitos para uma pessoa se tornar um Familiar do Santo Ofício só teriam ficado claras a partir de um Regimento publicado pela Inquisição em 1613, determinando que o posto, ao contrário dos demais, poderia ser ocupado por leigos. Entretanto, sua aceitação dependeria da verificação de sua “capacidade e limpeza de sangue”. Ainda segundo o autor, o Estatuto de Toledo (1449) teria inaugurado uma legislação que primava pela chamada “limpeza de sangue” na Península Ibérica, ao determinar que pessoas tidas como de “sangue infecto” (judeus, mouros e negros), não poderiam ocupar cargos públicos. Aos poucos, o princípio da “pureza” foi sedimentado também nas instituições portuguesas, servindo como elemento de distinção social e chave para as portas do serviço público.</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3ª etapa</w:t>
      </w:r>
      <w:r>
        <w:rPr>
          <w:rFonts w:ascii="Georgia" w:hAnsi="Georgia"/>
          <w:color w:val="000000"/>
          <w:sz w:val="20"/>
          <w:szCs w:val="20"/>
        </w:rPr>
        <w:br/>
        <w:t>Apresente à turma um Regimento publicado em 1640, no qual havia um conjunto de pré-requisitos que deveriam ser apresentados pelas as pessoas que quisessem se tornar agente da Inquisição:</w:t>
      </w:r>
      <w:r>
        <w:rPr>
          <w:rFonts w:ascii="Georgia" w:hAnsi="Georgia"/>
          <w:color w:val="000000"/>
          <w:sz w:val="20"/>
          <w:szCs w:val="20"/>
        </w:rPr>
        <w:br/>
      </w:r>
      <w:r>
        <w:rPr>
          <w:rFonts w:ascii="Georgia" w:hAnsi="Georgia"/>
          <w:color w:val="000000"/>
          <w:sz w:val="20"/>
          <w:szCs w:val="20"/>
        </w:rPr>
        <w:br/>
      </w:r>
      <w:proofErr w:type="gramStart"/>
      <w:r>
        <w:rPr>
          <w:rStyle w:val="nfase"/>
          <w:rFonts w:ascii="Georgia" w:hAnsi="Georgia"/>
          <w:color w:val="000000"/>
          <w:sz w:val="20"/>
          <w:szCs w:val="20"/>
        </w:rPr>
        <w:t>“</w:t>
      </w:r>
      <w:proofErr w:type="gramEnd"/>
      <w:r>
        <w:rPr>
          <w:rStyle w:val="nfase"/>
          <w:rFonts w:ascii="Georgia" w:hAnsi="Georgia"/>
          <w:color w:val="000000"/>
          <w:sz w:val="20"/>
          <w:szCs w:val="20"/>
        </w:rPr>
        <w:t>Cristãos velhos de sangue limpo, sem raça de Mouro, Judeu, ou gente novamente convertida a nossa Fé, e sem fama em contrário; que não tenham incorrido em alguma infâmia pública de feito ou de direito, nem forem presos, ou penitenciados pela Inquisição, nem sejam descendentes de pessoas, que tiverem algum dos defeitos sobreditos, serão boa vida e costumes, capazes de se lhe encarregar qualquer negócio de importância e de segredo; e as mesmas qualidades concorrerão na pessoa, que o Ordinário nomear para assistir em seu nome ao despacho dos processos das pessoas de sua jurisdição. Os oficiais leigos, convém a saber, Meirinho, Alcaide, e todos os mais saberão ler e escrever; e, se forem casados, terão a mesma limpeza suas mulheres e os filhos que por qualquer via tiverem.”</w:t>
      </w:r>
    </w:p>
    <w:p w:rsidR="00A71CC8" w:rsidRDefault="00A71CC8" w:rsidP="00A71CC8">
      <w:pPr>
        <w:pStyle w:val="NormalWeb"/>
        <w:spacing w:line="285" w:lineRule="atLeast"/>
        <w:rPr>
          <w:rFonts w:ascii="Georgia" w:hAnsi="Georgia"/>
          <w:color w:val="000000"/>
          <w:sz w:val="20"/>
          <w:szCs w:val="20"/>
        </w:rPr>
      </w:pPr>
      <w:r>
        <w:rPr>
          <w:rFonts w:ascii="Georgia" w:hAnsi="Georgia"/>
          <w:color w:val="000000"/>
          <w:sz w:val="20"/>
          <w:szCs w:val="20"/>
        </w:rPr>
        <w:t>Rodrigues,</w:t>
      </w:r>
      <w:r>
        <w:rPr>
          <w:rStyle w:val="apple-converted-space"/>
          <w:rFonts w:ascii="Georgia" w:hAnsi="Georgia"/>
          <w:color w:val="000000"/>
          <w:sz w:val="20"/>
          <w:szCs w:val="20"/>
        </w:rPr>
        <w:t> </w:t>
      </w:r>
      <w:r>
        <w:rPr>
          <w:rStyle w:val="Forte"/>
          <w:rFonts w:ascii="Georgia" w:hAnsi="Georgia"/>
          <w:color w:val="000000"/>
          <w:sz w:val="20"/>
          <w:szCs w:val="20"/>
        </w:rPr>
        <w:t>Aldair Carlos</w:t>
      </w:r>
      <w:r>
        <w:rPr>
          <w:rFonts w:ascii="Georgia" w:hAnsi="Georgia"/>
          <w:color w:val="000000"/>
          <w:sz w:val="20"/>
          <w:szCs w:val="20"/>
        </w:rPr>
        <w:t>.</w:t>
      </w:r>
      <w:r>
        <w:rPr>
          <w:rStyle w:val="apple-converted-space"/>
          <w:rFonts w:ascii="Georgia" w:hAnsi="Georgia"/>
          <w:color w:val="000000"/>
          <w:sz w:val="20"/>
          <w:szCs w:val="20"/>
        </w:rPr>
        <w:t> </w:t>
      </w:r>
      <w:r>
        <w:rPr>
          <w:rStyle w:val="Forte"/>
          <w:rFonts w:ascii="Georgia" w:hAnsi="Georgia"/>
          <w:color w:val="000000"/>
          <w:sz w:val="20"/>
          <w:szCs w:val="20"/>
        </w:rPr>
        <w:t>Sociedade e Inquisição em Minas Colonial: os Familiares do Santo Ofício (1711-1808)</w:t>
      </w:r>
      <w:r>
        <w:rPr>
          <w:rFonts w:ascii="Georgia" w:hAnsi="Georgia"/>
          <w:color w:val="000000"/>
          <w:sz w:val="20"/>
          <w:szCs w:val="20"/>
        </w:rPr>
        <w:t>. Dissertação (Mestrado). Universidade de São Paulo. São Paulo, 2007, p.92.</w:t>
      </w:r>
      <w:r>
        <w:rPr>
          <w:rFonts w:ascii="Georgia" w:hAnsi="Georgia"/>
          <w:color w:val="000000"/>
          <w:sz w:val="20"/>
          <w:szCs w:val="20"/>
        </w:rPr>
        <w:br/>
      </w:r>
      <w:r>
        <w:rPr>
          <w:rFonts w:ascii="Georgia" w:hAnsi="Georgia"/>
          <w:color w:val="000000"/>
          <w:sz w:val="20"/>
          <w:szCs w:val="20"/>
        </w:rPr>
        <w:br/>
        <w:t xml:space="preserve">Feita </w:t>
      </w:r>
      <w:proofErr w:type="gramStart"/>
      <w:r>
        <w:rPr>
          <w:rFonts w:ascii="Georgia" w:hAnsi="Georgia"/>
          <w:color w:val="000000"/>
          <w:sz w:val="20"/>
          <w:szCs w:val="20"/>
        </w:rPr>
        <w:t>a</w:t>
      </w:r>
      <w:proofErr w:type="gramEnd"/>
      <w:r>
        <w:rPr>
          <w:rFonts w:ascii="Georgia" w:hAnsi="Georgia"/>
          <w:color w:val="000000"/>
          <w:sz w:val="20"/>
          <w:szCs w:val="20"/>
        </w:rPr>
        <w:t xml:space="preserve"> leitura do excerto, procure discutir com a turma como a questão da “limpeza de sangue”, eliminada apenas por um Regimento publicado em 1774, se apresentava como um dos principais pré-requisitos para o trabalho junto ao Santo Ofício, a forma como se estendia para o círculo familiar do candidato, além de se apresentar como manifestação de preconceito religioso e racial.</w:t>
      </w:r>
      <w:r>
        <w:rPr>
          <w:rFonts w:ascii="Georgia" w:hAnsi="Georgia"/>
          <w:color w:val="000000"/>
          <w:sz w:val="20"/>
          <w:szCs w:val="20"/>
        </w:rPr>
        <w:br/>
      </w:r>
      <w:r>
        <w:rPr>
          <w:rFonts w:ascii="Georgia" w:hAnsi="Georgia"/>
          <w:color w:val="000000"/>
          <w:sz w:val="20"/>
          <w:szCs w:val="20"/>
        </w:rPr>
        <w:br/>
        <w:t xml:space="preserve">Por fim, informe aos alunos que, entre os séculos 16 e 18, o trabalho da Inquisição no Brasil teve como saldo a prisão </w:t>
      </w:r>
      <w:r>
        <w:rPr>
          <w:rFonts w:ascii="Georgia" w:hAnsi="Georgia"/>
          <w:color w:val="000000"/>
          <w:sz w:val="20"/>
          <w:szCs w:val="20"/>
        </w:rPr>
        <w:lastRenderedPageBreak/>
        <w:t>de 1.074 pessoas presas, sendo destas 776 homens e 298 mulheres, a maioria acusada de serem cristãos-novos judaizantes, tendo sido mais da metade das prisões realizada no século 18. De todos os presos, 22 pessoas (acusadas de serem judaizantes) foram queimadas na fogueira em Lisboa (apenas duas eram mulheres), um número bem menor do que aquele apresentado pelas atividades da Inquisição Espanhola.</w:t>
      </w:r>
      <w:r>
        <w:rPr>
          <w:rFonts w:ascii="Georgia" w:hAnsi="Georgia"/>
          <w:color w:val="000000"/>
          <w:sz w:val="20"/>
          <w:szCs w:val="20"/>
        </w:rPr>
        <w:br/>
      </w:r>
      <w:r>
        <w:rPr>
          <w:rFonts w:ascii="Georgia" w:hAnsi="Georgia"/>
          <w:color w:val="000000"/>
          <w:sz w:val="20"/>
          <w:szCs w:val="20"/>
        </w:rPr>
        <w:br/>
        <w:t>Comente com os alunos que a denúncia era um dos principais caminhos para que um suspeito fosse cair nas mãos dos agentes do Santo Ofício. Muitas vezes, os hábitos mais corriqueiros das pessoas poderiam ser indicados como indícios de heresia ou judaísmo. Não comer carne de porco ou não trabalhar em um sábado poderia ser o início de um processo inquisitorial judaísmo, por exemplo.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4ª etapa</w:t>
      </w:r>
      <w:r>
        <w:rPr>
          <w:rFonts w:ascii="Georgia" w:hAnsi="Georgia"/>
          <w:color w:val="000000"/>
          <w:sz w:val="20"/>
          <w:szCs w:val="20"/>
        </w:rPr>
        <w:br/>
        <w:t>Questione os alunos se eles conhecem os rituais da Igreja Católica, como a missa, por exemplo, e a forma como eles são realizados hoje. Em seguida, informe que nem sempre os rituais mais corriqueiros da Igreja se apresentaram da forma como os conhecemos hoje e que as principais mudanças nesse sentido ocorreram há apenas 50 anos.</w:t>
      </w:r>
      <w:r>
        <w:rPr>
          <w:rFonts w:ascii="Georgia" w:hAnsi="Georgia"/>
          <w:color w:val="000000"/>
          <w:sz w:val="20"/>
          <w:szCs w:val="20"/>
        </w:rPr>
        <w:br/>
      </w:r>
      <w:r>
        <w:rPr>
          <w:rFonts w:ascii="Georgia" w:hAnsi="Georgia"/>
          <w:color w:val="000000"/>
          <w:sz w:val="20"/>
          <w:szCs w:val="20"/>
        </w:rPr>
        <w:br/>
        <w:t>Divida a turma em grupos e distribua cópias da reportagem</w:t>
      </w:r>
      <w:r>
        <w:rPr>
          <w:rStyle w:val="apple-converted-space"/>
          <w:rFonts w:ascii="Georgia" w:hAnsi="Georgia"/>
          <w:color w:val="000000"/>
          <w:sz w:val="20"/>
          <w:szCs w:val="20"/>
        </w:rPr>
        <w:t> </w:t>
      </w:r>
      <w:r>
        <w:rPr>
          <w:rStyle w:val="nfase"/>
          <w:rFonts w:ascii="Georgia" w:hAnsi="Georgia"/>
          <w:color w:val="000000"/>
          <w:sz w:val="20"/>
          <w:szCs w:val="20"/>
        </w:rPr>
        <w:t>Obra em Aberto</w:t>
      </w:r>
      <w:r>
        <w:rPr>
          <w:rStyle w:val="apple-converted-space"/>
          <w:rFonts w:ascii="Georgia" w:hAnsi="Georgia"/>
          <w:color w:val="000000"/>
          <w:sz w:val="20"/>
          <w:szCs w:val="20"/>
        </w:rPr>
        <w:t> </w:t>
      </w:r>
      <w:r>
        <w:rPr>
          <w:rFonts w:ascii="Georgia" w:hAnsi="Georgia"/>
          <w:color w:val="000000"/>
          <w:sz w:val="20"/>
          <w:szCs w:val="20"/>
        </w:rPr>
        <w:t>(</w:t>
      </w:r>
      <w:r>
        <w:rPr>
          <w:rStyle w:val="nfase"/>
          <w:rFonts w:ascii="Georgia" w:hAnsi="Georgia"/>
          <w:color w:val="000000"/>
          <w:sz w:val="20"/>
          <w:szCs w:val="20"/>
        </w:rPr>
        <w:t>Veja</w:t>
      </w:r>
      <w:r>
        <w:rPr>
          <w:rFonts w:ascii="Georgia" w:hAnsi="Georgia"/>
          <w:color w:val="000000"/>
          <w:sz w:val="20"/>
          <w:szCs w:val="20"/>
        </w:rPr>
        <w:t>, 17 de outubro de 2012), realizando sua leitura de forma coletiva. Terminada a leitura, discuta com a turma as informações trazidas pelo texto, que se refere aos 50 anos do Concílio Vaticano II (1962-1965), tido como mais importante acontecimento da história recente da Igreja, responsável por sua atual configuração ritualística e doutrinária. Aponte as mudanças aprovadas pelo Concílio, como a realização das missas na língua nacional ao invés do Latim; o fim da obrigatoriedade do uso da batina em tempo integral pelos sacerdotes; a abertura da celebração da missa para a participação dos leigos; entre outras.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Discuta com a turma como muitas das mudanças aprovadas pelo Concílio tiveram o objetivo de responder ao avanço das religiões protestantes no século 20, sobretudo as pentecostais, na tentativa de reaproximar a Igreja dos fiéis que encontravam na fé concorrente mais espaço para participação dos rituais e mesmo um acesso mais claro ao que os cristãos consideram a “palavra de Deus”, antes restrita apenas aos sacerdotes católicos.</w:t>
      </w:r>
    </w:p>
    <w:p w:rsidR="00A71CC8" w:rsidRDefault="00A71CC8" w:rsidP="00A71CC8">
      <w:pPr>
        <w:pStyle w:val="NormalWeb"/>
        <w:spacing w:after="0" w:line="285" w:lineRule="atLeast"/>
        <w:rPr>
          <w:rFonts w:ascii="Georgia" w:hAnsi="Georgia"/>
          <w:color w:val="000000"/>
          <w:sz w:val="20"/>
          <w:szCs w:val="20"/>
        </w:rPr>
      </w:pPr>
      <w:r>
        <w:rPr>
          <w:rFonts w:ascii="Georgia" w:hAnsi="Georgia"/>
          <w:color w:val="000000"/>
          <w:sz w:val="20"/>
          <w:szCs w:val="20"/>
        </w:rPr>
        <w:t xml:space="preserve">Aproveite a leitura do texto e procure debater outros aspectos da matéria abordada, como a postura unilateral em relação ao processo histórico abordado, por exemplo, em relação </w:t>
      </w:r>
      <w:proofErr w:type="gramStart"/>
      <w:r>
        <w:rPr>
          <w:rFonts w:ascii="Georgia" w:hAnsi="Georgia"/>
          <w:color w:val="000000"/>
          <w:sz w:val="20"/>
          <w:szCs w:val="20"/>
        </w:rPr>
        <w:t>a</w:t>
      </w:r>
      <w:proofErr w:type="gramEnd"/>
      <w:r>
        <w:rPr>
          <w:rFonts w:ascii="Georgia" w:hAnsi="Georgia"/>
          <w:color w:val="000000"/>
          <w:sz w:val="20"/>
          <w:szCs w:val="20"/>
        </w:rPr>
        <w:t xml:space="preserve"> afirmação de que determinações como a colegialidade do poder eclesiástico (dividido entre o Papa, cardeais e bispos), que de fato fortaleceu movimentos católicos locais, teria trazido prejuízos, como o fortalecimento da chamada Teologia da Libertação, movimento acusado pela autora de querer apenas introduzir o marxismo em ensinamentos cristãos, “sob o falso argumento da opção preferencial pelos pobres”.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5ª etapa</w:t>
      </w:r>
      <w:r>
        <w:rPr>
          <w:rFonts w:ascii="Georgia" w:hAnsi="Georgia"/>
          <w:color w:val="000000"/>
          <w:sz w:val="20"/>
          <w:szCs w:val="20"/>
        </w:rPr>
        <w:br/>
        <w:t>Peça aos grupos que pesquisem informações sobre a</w:t>
      </w:r>
      <w:r>
        <w:rPr>
          <w:rStyle w:val="apple-converted-space"/>
          <w:rFonts w:ascii="Georgia" w:hAnsi="Georgia"/>
          <w:color w:val="000000"/>
          <w:sz w:val="20"/>
          <w:szCs w:val="20"/>
        </w:rPr>
        <w:t> </w:t>
      </w:r>
      <w:r>
        <w:rPr>
          <w:rStyle w:val="Forte"/>
          <w:rFonts w:ascii="Georgia" w:hAnsi="Georgia"/>
          <w:color w:val="000000"/>
          <w:sz w:val="20"/>
          <w:szCs w:val="20"/>
        </w:rPr>
        <w:t>Teologia da Libertação</w:t>
      </w:r>
      <w:r>
        <w:rPr>
          <w:rFonts w:ascii="Georgia" w:hAnsi="Georgia"/>
          <w:color w:val="000000"/>
          <w:sz w:val="20"/>
          <w:szCs w:val="20"/>
        </w:rPr>
        <w:t>, procurando contextualizar o movimento tanto em relação às mudanças ocorridas na Igreja Católica desde o Concílio Vaticano II, quando em relação aos embates ideológicos vigentes não só na América Latina no período. Solicite especialmente que sejam verificadas as discussões em relação à “opção preferencial pelos pobres”.</w:t>
      </w:r>
      <w:r>
        <w:rPr>
          <w:rFonts w:ascii="Georgia" w:hAnsi="Georgia"/>
          <w:color w:val="000000"/>
          <w:sz w:val="20"/>
          <w:szCs w:val="20"/>
        </w:rPr>
        <w:br/>
      </w:r>
      <w:r>
        <w:rPr>
          <w:rFonts w:ascii="Georgia" w:hAnsi="Georgia"/>
          <w:color w:val="000000"/>
          <w:sz w:val="20"/>
          <w:szCs w:val="20"/>
        </w:rPr>
        <w:br/>
        <w:t>Depois da pesquisa, solicite que os grupos assistam ao filme de</w:t>
      </w:r>
      <w:r>
        <w:rPr>
          <w:rStyle w:val="apple-converted-space"/>
          <w:rFonts w:ascii="Georgia" w:hAnsi="Georgia"/>
          <w:color w:val="000000"/>
          <w:sz w:val="20"/>
          <w:szCs w:val="20"/>
        </w:rPr>
        <w:t> </w:t>
      </w:r>
      <w:r>
        <w:rPr>
          <w:rStyle w:val="nfase"/>
          <w:rFonts w:ascii="Georgia" w:hAnsi="Georgia"/>
          <w:color w:val="000000"/>
          <w:sz w:val="20"/>
          <w:szCs w:val="20"/>
        </w:rPr>
        <w:t>Batismo de Sangue</w:t>
      </w:r>
      <w:r>
        <w:rPr>
          <w:rFonts w:ascii="Georgia" w:hAnsi="Georgia"/>
          <w:color w:val="000000"/>
          <w:sz w:val="20"/>
          <w:szCs w:val="20"/>
        </w:rPr>
        <w:t>, produção inspirada em um livro homônimo de autoria de Frei Beto, religioso e filósofo brasileiro que tomou parte da luta contra a ditadura militar (1964-1985). Informe aos grupos que eles deverão observar uma possível relação entre as informações pesquisadas a respeito da Teologia da Libertação, as mudanças provocadas pelo Concílio Vaticano II e o enredo do filme, que traz em si uma discussão sobre o envolvimento de religiosos dominicanos com a resistência armada, além dos crimes cometidos pelo Estado brasileiro durante os anos de regime de exceção.</w:t>
      </w:r>
      <w:r>
        <w:rPr>
          <w:rFonts w:ascii="Georgia" w:hAnsi="Georgia"/>
          <w:color w:val="000000"/>
          <w:sz w:val="20"/>
          <w:szCs w:val="20"/>
        </w:rPr>
        <w:br/>
      </w:r>
      <w:r>
        <w:rPr>
          <w:rFonts w:ascii="Georgia" w:hAnsi="Georgia"/>
          <w:color w:val="000000"/>
          <w:sz w:val="20"/>
          <w:szCs w:val="20"/>
        </w:rPr>
        <w:lastRenderedPageBreak/>
        <w:br/>
      </w:r>
      <w:r>
        <w:rPr>
          <w:rStyle w:val="black-bold"/>
          <w:rFonts w:ascii="Georgia" w:hAnsi="Georgia"/>
          <w:b/>
          <w:bCs/>
          <w:color w:val="000000"/>
          <w:sz w:val="20"/>
          <w:szCs w:val="20"/>
        </w:rPr>
        <w:t>Ficha técnica</w:t>
      </w:r>
      <w:r>
        <w:rPr>
          <w:rStyle w:val="txtnormal"/>
          <w:rFonts w:ascii="Georgia" w:hAnsi="Georgia"/>
          <w:color w:val="000000"/>
          <w:sz w:val="20"/>
          <w:szCs w:val="20"/>
        </w:rPr>
        <w:t xml:space="preserve"> </w:t>
      </w:r>
      <w:r>
        <w:rPr>
          <w:rFonts w:ascii="Georgia" w:hAnsi="Georgia"/>
          <w:color w:val="000000"/>
          <w:sz w:val="20"/>
          <w:szCs w:val="20"/>
        </w:rPr>
        <w:br/>
      </w:r>
      <w:r>
        <w:rPr>
          <w:rStyle w:val="txtnormal"/>
          <w:rFonts w:ascii="Georgia" w:hAnsi="Georgia"/>
          <w:color w:val="000000"/>
          <w:sz w:val="20"/>
          <w:szCs w:val="20"/>
        </w:rPr>
        <w:t>Título original: Batismo de Sangue</w:t>
      </w:r>
      <w:r>
        <w:rPr>
          <w:rFonts w:ascii="Georgia" w:hAnsi="Georgia"/>
          <w:color w:val="000000"/>
          <w:sz w:val="20"/>
          <w:szCs w:val="20"/>
        </w:rPr>
        <w:br/>
      </w:r>
      <w:r>
        <w:rPr>
          <w:rStyle w:val="txtnormal"/>
          <w:rFonts w:ascii="Georgia" w:hAnsi="Georgia"/>
          <w:color w:val="000000"/>
          <w:sz w:val="20"/>
          <w:szCs w:val="20"/>
        </w:rPr>
        <w:t>Lançamento: 2007 (Brasil, França</w:t>
      </w:r>
      <w:proofErr w:type="gramStart"/>
      <w:r>
        <w:rPr>
          <w:rStyle w:val="txtnormal"/>
          <w:rFonts w:ascii="Georgia" w:hAnsi="Georgia"/>
          <w:color w:val="000000"/>
          <w:sz w:val="20"/>
          <w:szCs w:val="20"/>
        </w:rPr>
        <w:t>)</w:t>
      </w:r>
      <w:proofErr w:type="gramEnd"/>
      <w:r>
        <w:rPr>
          <w:rFonts w:ascii="Georgia" w:hAnsi="Georgia"/>
          <w:color w:val="000000"/>
          <w:sz w:val="20"/>
          <w:szCs w:val="20"/>
        </w:rPr>
        <w:br/>
      </w:r>
      <w:r>
        <w:rPr>
          <w:rStyle w:val="txtnormal"/>
          <w:rFonts w:ascii="Georgia" w:hAnsi="Georgia"/>
          <w:color w:val="000000"/>
          <w:sz w:val="20"/>
          <w:szCs w:val="20"/>
        </w:rPr>
        <w:t xml:space="preserve">Direção: Helvécio </w:t>
      </w:r>
      <w:proofErr w:type="spellStart"/>
      <w:r>
        <w:rPr>
          <w:rStyle w:val="txtnormal"/>
          <w:rFonts w:ascii="Georgia" w:hAnsi="Georgia"/>
          <w:color w:val="000000"/>
          <w:sz w:val="20"/>
          <w:szCs w:val="20"/>
        </w:rPr>
        <w:t>Ratton</w:t>
      </w:r>
      <w:proofErr w:type="spellEnd"/>
      <w:r>
        <w:rPr>
          <w:rFonts w:ascii="Georgia" w:hAnsi="Georgia"/>
          <w:color w:val="000000"/>
          <w:sz w:val="20"/>
          <w:szCs w:val="20"/>
        </w:rPr>
        <w:br/>
      </w:r>
      <w:r>
        <w:rPr>
          <w:rStyle w:val="txtnormal"/>
          <w:rFonts w:ascii="Georgia" w:hAnsi="Georgia"/>
          <w:color w:val="000000"/>
          <w:sz w:val="20"/>
          <w:szCs w:val="20"/>
        </w:rPr>
        <w:t xml:space="preserve">Atores: Caio Blat, Daniel de Oliveira, Cássio Gabus Mendes, </w:t>
      </w:r>
      <w:proofErr w:type="spellStart"/>
      <w:r>
        <w:rPr>
          <w:rStyle w:val="txtnormal"/>
          <w:rFonts w:ascii="Georgia" w:hAnsi="Georgia"/>
          <w:color w:val="000000"/>
          <w:sz w:val="20"/>
          <w:szCs w:val="20"/>
        </w:rPr>
        <w:t>Angelo</w:t>
      </w:r>
      <w:proofErr w:type="spellEnd"/>
      <w:r>
        <w:rPr>
          <w:rStyle w:val="txtnormal"/>
          <w:rFonts w:ascii="Georgia" w:hAnsi="Georgia"/>
          <w:color w:val="000000"/>
          <w:sz w:val="20"/>
          <w:szCs w:val="20"/>
        </w:rPr>
        <w:t xml:space="preserve"> </w:t>
      </w:r>
      <w:proofErr w:type="spellStart"/>
      <w:r>
        <w:rPr>
          <w:rStyle w:val="txtnormal"/>
          <w:rFonts w:ascii="Georgia" w:hAnsi="Georgia"/>
          <w:color w:val="000000"/>
          <w:sz w:val="20"/>
          <w:szCs w:val="20"/>
        </w:rPr>
        <w:t>Antonio</w:t>
      </w:r>
      <w:proofErr w:type="spellEnd"/>
      <w:r>
        <w:rPr>
          <w:rStyle w:val="txtnormal"/>
          <w:rFonts w:ascii="Georgia" w:hAnsi="Georgia"/>
          <w:color w:val="000000"/>
          <w:sz w:val="20"/>
          <w:szCs w:val="20"/>
        </w:rPr>
        <w:t>.</w:t>
      </w:r>
      <w:r>
        <w:rPr>
          <w:rFonts w:ascii="Georgia" w:hAnsi="Georgia"/>
          <w:color w:val="000000"/>
          <w:sz w:val="20"/>
          <w:szCs w:val="20"/>
        </w:rPr>
        <w:br/>
      </w:r>
      <w:r>
        <w:rPr>
          <w:rStyle w:val="txtnormal"/>
          <w:rFonts w:ascii="Georgia" w:hAnsi="Georgia"/>
          <w:color w:val="000000"/>
          <w:sz w:val="20"/>
          <w:szCs w:val="20"/>
        </w:rPr>
        <w:t>Duração: 110 min</w:t>
      </w:r>
      <w:r>
        <w:rPr>
          <w:rFonts w:ascii="Georgia" w:hAnsi="Georgia"/>
          <w:color w:val="000000"/>
          <w:sz w:val="20"/>
          <w:szCs w:val="20"/>
        </w:rPr>
        <w:br/>
      </w:r>
      <w:r>
        <w:rPr>
          <w:rFonts w:ascii="Georgia" w:hAnsi="Georgia"/>
          <w:color w:val="000000"/>
          <w:sz w:val="20"/>
          <w:szCs w:val="20"/>
        </w:rPr>
        <w:br/>
        <w:t>O resultado da atividade deverá ser apresentado em sala na forma de seminário, além da entrega de um trabalho escrito.</w:t>
      </w:r>
      <w:r>
        <w:rPr>
          <w:rFonts w:ascii="Georgia" w:hAnsi="Georgia"/>
          <w:color w:val="000000"/>
          <w:sz w:val="20"/>
          <w:szCs w:val="20"/>
        </w:rPr>
        <w:br/>
      </w:r>
      <w:r>
        <w:rPr>
          <w:rFonts w:ascii="Georgia" w:hAnsi="Georgia"/>
          <w:color w:val="000000"/>
          <w:sz w:val="20"/>
          <w:szCs w:val="20"/>
        </w:rPr>
        <w:br/>
        <w:t>Apresentação de seminários e entrega do trabalho escrito.</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Avaliação</w:t>
      </w:r>
      <w:r>
        <w:rPr>
          <w:rStyle w:val="apple-converted-space"/>
          <w:rFonts w:ascii="Georgia" w:hAnsi="Georgia"/>
          <w:b/>
          <w:bCs/>
          <w:color w:val="333333"/>
        </w:rPr>
        <w:t> </w:t>
      </w:r>
      <w:r>
        <w:rPr>
          <w:rFonts w:ascii="Georgia" w:hAnsi="Georgia"/>
          <w:color w:val="000000"/>
          <w:sz w:val="20"/>
          <w:szCs w:val="20"/>
        </w:rPr>
        <w:br/>
        <w:t>Com base nos seminários apresentados, nas discussões em sala e no trabalho escrito, procure observar se a turma conseguiu compreender os processos históricos abordados, especialmente a relação entre as mudanças promovidas pela Igreja Católica e os contextos históricos nos quais se desenrolaram.</w:t>
      </w:r>
    </w:p>
    <w:p w:rsidR="00A71CC8" w:rsidRDefault="00A71CC8"/>
    <w:p w:rsidR="00B728D8" w:rsidRDefault="00B728D8" w:rsidP="00B728D8">
      <w:r>
        <w:t xml:space="preserve">Fonte: </w:t>
      </w:r>
      <w:hyperlink r:id="rId5" w:tgtFrame="_blank" w:history="1">
        <w:r>
          <w:rPr>
            <w:rStyle w:val="Hyperlink"/>
            <w:rFonts w:cs="Tahoma"/>
            <w:color w:val="3B5998"/>
            <w:shd w:val="clear" w:color="auto" w:fill="FFFFFF"/>
          </w:rPr>
          <w:t>http://revistaescola.abril.com.br/ensino-medio/plano-de-aula</w:t>
        </w:r>
      </w:hyperlink>
    </w:p>
    <w:p w:rsidR="00B728D8" w:rsidRDefault="00B728D8" w:rsidP="00B728D8">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B728D8" w:rsidRDefault="00B728D8">
      <w:bookmarkStart w:id="0" w:name="_GoBack"/>
      <w:bookmarkEnd w:id="0"/>
    </w:p>
    <w:sectPr w:rsidR="00B728D8"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A71CC8"/>
    <w:rsid w:val="000D1F65"/>
    <w:rsid w:val="0011423A"/>
    <w:rsid w:val="003E2F68"/>
    <w:rsid w:val="005D1192"/>
    <w:rsid w:val="00A71CC8"/>
    <w:rsid w:val="00B728D8"/>
    <w:rsid w:val="00D07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A71CC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71CC8"/>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A71CC8"/>
    <w:rPr>
      <w:i/>
      <w:iCs/>
    </w:rPr>
  </w:style>
  <w:style w:type="paragraph" w:styleId="NormalWeb">
    <w:name w:val="Normal (Web)"/>
    <w:basedOn w:val="Normal"/>
    <w:uiPriority w:val="99"/>
    <w:semiHidden/>
    <w:unhideWhenUsed/>
    <w:rsid w:val="00A71CC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A71CC8"/>
  </w:style>
  <w:style w:type="character" w:customStyle="1" w:styleId="apple-converted-space">
    <w:name w:val="apple-converted-space"/>
    <w:basedOn w:val="Fontepargpadro"/>
    <w:rsid w:val="00A71CC8"/>
  </w:style>
  <w:style w:type="character" w:styleId="Forte">
    <w:name w:val="Strong"/>
    <w:basedOn w:val="Fontepargpadro"/>
    <w:uiPriority w:val="22"/>
    <w:qFormat/>
    <w:rsid w:val="00A71CC8"/>
    <w:rPr>
      <w:b/>
      <w:bCs/>
    </w:rPr>
  </w:style>
  <w:style w:type="character" w:customStyle="1" w:styleId="txtnormal">
    <w:name w:val="txt_normal"/>
    <w:basedOn w:val="Fontepargpadro"/>
    <w:rsid w:val="00A71CC8"/>
  </w:style>
  <w:style w:type="character" w:customStyle="1" w:styleId="black-bold">
    <w:name w:val="black-bold"/>
    <w:basedOn w:val="Fontepargpadro"/>
    <w:rsid w:val="00A71CC8"/>
  </w:style>
  <w:style w:type="character" w:styleId="Hyperlink">
    <w:name w:val="Hyperlink"/>
    <w:basedOn w:val="Fontepargpadro"/>
    <w:uiPriority w:val="99"/>
    <w:semiHidden/>
    <w:unhideWhenUsed/>
    <w:rsid w:val="00B728D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45209">
      <w:bodyDiv w:val="1"/>
      <w:marLeft w:val="0"/>
      <w:marRight w:val="0"/>
      <w:marTop w:val="0"/>
      <w:marBottom w:val="0"/>
      <w:divBdr>
        <w:top w:val="none" w:sz="0" w:space="0" w:color="auto"/>
        <w:left w:val="none" w:sz="0" w:space="0" w:color="auto"/>
        <w:bottom w:val="none" w:sz="0" w:space="0" w:color="auto"/>
        <w:right w:val="none" w:sz="0" w:space="0" w:color="auto"/>
      </w:divBdr>
    </w:div>
    <w:div w:id="469858696">
      <w:bodyDiv w:val="1"/>
      <w:marLeft w:val="0"/>
      <w:marRight w:val="0"/>
      <w:marTop w:val="0"/>
      <w:marBottom w:val="0"/>
      <w:divBdr>
        <w:top w:val="none" w:sz="0" w:space="0" w:color="auto"/>
        <w:left w:val="none" w:sz="0" w:space="0" w:color="auto"/>
        <w:bottom w:val="none" w:sz="0" w:space="0" w:color="auto"/>
        <w:right w:val="none" w:sz="0" w:space="0" w:color="auto"/>
      </w:divBdr>
    </w:div>
    <w:div w:id="1025399439">
      <w:bodyDiv w:val="1"/>
      <w:marLeft w:val="0"/>
      <w:marRight w:val="0"/>
      <w:marTop w:val="0"/>
      <w:marBottom w:val="0"/>
      <w:divBdr>
        <w:top w:val="none" w:sz="0" w:space="0" w:color="auto"/>
        <w:left w:val="none" w:sz="0" w:space="0" w:color="auto"/>
        <w:bottom w:val="none" w:sz="0" w:space="0" w:color="auto"/>
        <w:right w:val="none" w:sz="0" w:space="0" w:color="auto"/>
      </w:divBdr>
    </w:div>
    <w:div w:id="149468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evistaescola.abril.com.br/ensino-medio/plano-de-aula"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2358</Words>
  <Characters>12734</Characters>
  <Application>Microsoft Office Word</Application>
  <DocSecurity>0</DocSecurity>
  <Lines>106</Lines>
  <Paragraphs>30</Paragraphs>
  <ScaleCrop>false</ScaleCrop>
  <Company/>
  <LinksUpToDate>false</LinksUpToDate>
  <CharactersWithSpaces>15062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2013-02-28T01:29:00Z</dcterms:created>
  <dcterms:modified xsi:type="dcterms:W3CDTF">2013-03-01T02:06:00Z</dcterms:modified>
</cp:coreProperties>
</file>